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40"/>
      </w:pPr>
      <w:r>
        <w:rPr>
          <w:rFonts w:ascii="Arial" w:cs="Arial" w:eastAsia="Arial" w:hAnsi="Arial"/>
          <w:b/>
          <w:bCs/>
          <w:color w:val="B85C38"/>
          <w:sz w:val="18"/>
          <w:szCs w:val="18"/>
        </w:rPr>
        <w:t xml:space="preserve">ADDIE CASE STUDY</w:t>
      </w:r>
    </w:p>
    <w:p>
      <w:pPr>
        <w:spacing w:after="120"/>
      </w:pPr>
      <w:r>
        <w:rPr>
          <w:rFonts w:ascii="Arial" w:cs="Arial" w:eastAsia="Arial" w:hAnsi="Arial"/>
          <w:b/>
          <w:bCs/>
          <w:color w:val="2C2925"/>
          <w:sz w:val="48"/>
          <w:szCs w:val="48"/>
        </w:rPr>
        <w:t xml:space="preserve">Redesigning Wellness Associate Onboarding</w:t>
      </w:r>
    </w:p>
    <w:p>
      <w:pPr>
        <w:spacing w:after="40"/>
      </w:pPr>
      <w:r>
        <w:rPr>
          <w:rFonts w:ascii="Arial" w:cs="Arial" w:eastAsia="Arial" w:hAnsi="Arial"/>
          <w:i/>
          <w:iCs/>
          <w:color w:val="7C7872"/>
          <w:sz w:val="26"/>
          <w:szCs w:val="26"/>
        </w:rPr>
        <w:t xml:space="preserve">From Information Dump to Performance Readiness</w:t>
      </w:r>
    </w:p>
    <w:p>
      <w:pPr>
        <w:spacing w:before="600"/>
      </w:pP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tblGrid>
      <w:tr>
        <w:tc>
          <w:tcPr>
            <w:tcW w:type="dxa" w:w="2000"/>
            <w:tcBorders>
              <w:top w:val="none" w:sz="0"/>
              <w:left w:val="none" w:sz="0"/>
              <w:bottom w:val="none" w:sz="0"/>
              <w:right w:val="none" w:sz="0"/>
            </w:tcBorders>
            <w:tcMar>
              <w:top w:type="dxa" w:w="80"/>
              <w:left w:type="dxa" w:w="120"/>
              <w:bottom w:type="dxa" w:w="80"/>
              <w:right w:type="dxa" w:w="120"/>
            </w:tcMar>
          </w:tcPr>
          <w:p>
            <w:r>
              <w:rPr>
                <w:b/>
                <w:bCs/>
                <w:color w:val="2C2925"/>
                <w:sz w:val="18"/>
                <w:szCs w:val="18"/>
              </w:rPr>
              <w:t xml:space="preserve">Client</w:t>
            </w:r>
          </w:p>
        </w:tc>
        <w:tc>
          <w:tcPr>
            <w:tcW w:type="dxa" w:w="4000"/>
            <w:tcBorders>
              <w:top w:val="none" w:sz="0"/>
              <w:left w:val="none" w:sz="0"/>
              <w:bottom w:val="none" w:sz="0"/>
              <w:right w:val="none" w:sz="0"/>
            </w:tcBorders>
            <w:tcMar>
              <w:top w:type="dxa" w:w="80"/>
              <w:left w:type="dxa" w:w="120"/>
              <w:bottom w:type="dxa" w:w="80"/>
              <w:right w:type="dxa" w:w="120"/>
            </w:tcMar>
          </w:tcPr>
          <w:p>
            <w:r>
              <w:rPr>
                <w:color w:val="7C7872"/>
                <w:sz w:val="18"/>
                <w:szCs w:val="18"/>
              </w:rPr>
              <w:t xml:space="preserve">Evergreen Wellness Collective (fictional)</w:t>
            </w:r>
          </w:p>
        </w:tc>
      </w:tr>
      <w:tr>
        <w:tc>
          <w:tcPr>
            <w:tcW w:type="dxa" w:w="2000"/>
            <w:tcBorders>
              <w:top w:val="none" w:sz="0"/>
              <w:left w:val="none" w:sz="0"/>
              <w:bottom w:val="none" w:sz="0"/>
              <w:right w:val="none" w:sz="0"/>
            </w:tcBorders>
            <w:tcMar>
              <w:top w:type="dxa" w:w="80"/>
              <w:left w:type="dxa" w:w="120"/>
              <w:bottom w:type="dxa" w:w="80"/>
              <w:right w:type="dxa" w:w="120"/>
            </w:tcMar>
          </w:tcPr>
          <w:p>
            <w:r>
              <w:rPr>
                <w:b/>
                <w:bCs/>
                <w:color w:val="2C2925"/>
                <w:sz w:val="18"/>
                <w:szCs w:val="18"/>
              </w:rPr>
              <w:t xml:space="preserve">Industry</w:t>
            </w:r>
          </w:p>
        </w:tc>
        <w:tc>
          <w:tcPr>
            <w:tcW w:type="dxa" w:w="4000"/>
            <w:tcBorders>
              <w:top w:val="none" w:sz="0"/>
              <w:left w:val="none" w:sz="0"/>
              <w:bottom w:val="none" w:sz="0"/>
              <w:right w:val="none" w:sz="0"/>
            </w:tcBorders>
            <w:tcMar>
              <w:top w:type="dxa" w:w="80"/>
              <w:left w:type="dxa" w:w="120"/>
              <w:bottom w:type="dxa" w:w="80"/>
              <w:right w:type="dxa" w:w="120"/>
            </w:tcMar>
          </w:tcPr>
          <w:p>
            <w:r>
              <w:rPr>
                <w:color w:val="7C7872"/>
                <w:sz w:val="18"/>
                <w:szCs w:val="18"/>
              </w:rPr>
              <w:t xml:space="preserve">Wellness / Retail</w:t>
            </w:r>
          </w:p>
        </w:tc>
      </w:tr>
      <w:tr>
        <w:tc>
          <w:tcPr>
            <w:tcW w:type="dxa" w:w="2000"/>
            <w:tcBorders>
              <w:top w:val="none" w:sz="0"/>
              <w:left w:val="none" w:sz="0"/>
              <w:bottom w:val="none" w:sz="0"/>
              <w:right w:val="none" w:sz="0"/>
            </w:tcBorders>
            <w:tcMar>
              <w:top w:type="dxa" w:w="80"/>
              <w:left w:type="dxa" w:w="120"/>
              <w:bottom w:type="dxa" w:w="80"/>
              <w:right w:type="dxa" w:w="120"/>
            </w:tcMar>
          </w:tcPr>
          <w:p>
            <w:r>
              <w:rPr>
                <w:b/>
                <w:bCs/>
                <w:color w:val="2C2925"/>
                <w:sz w:val="18"/>
                <w:szCs w:val="18"/>
              </w:rPr>
              <w:t xml:space="preserve">Scope</w:t>
            </w:r>
          </w:p>
        </w:tc>
        <w:tc>
          <w:tcPr>
            <w:tcW w:type="dxa" w:w="4000"/>
            <w:tcBorders>
              <w:top w:val="none" w:sz="0"/>
              <w:left w:val="none" w:sz="0"/>
              <w:bottom w:val="none" w:sz="0"/>
              <w:right w:val="none" w:sz="0"/>
            </w:tcBorders>
            <w:tcMar>
              <w:top w:type="dxa" w:w="80"/>
              <w:left w:type="dxa" w:w="120"/>
              <w:bottom w:type="dxa" w:w="80"/>
              <w:right w:type="dxa" w:w="120"/>
            </w:tcMar>
          </w:tcPr>
          <w:p>
            <w:r>
              <w:rPr>
                <w:color w:val="7C7872"/>
                <w:sz w:val="18"/>
                <w:szCs w:val="18"/>
              </w:rPr>
              <w:t xml:space="preserve">New hire onboarding program redesign</w:t>
            </w:r>
          </w:p>
        </w:tc>
      </w:tr>
      <w:tr>
        <w:tc>
          <w:tcPr>
            <w:tcW w:type="dxa" w:w="2000"/>
            <w:tcBorders>
              <w:top w:val="none" w:sz="0"/>
              <w:left w:val="none" w:sz="0"/>
              <w:bottom w:val="none" w:sz="0"/>
              <w:right w:val="none" w:sz="0"/>
            </w:tcBorders>
            <w:tcMar>
              <w:top w:type="dxa" w:w="80"/>
              <w:left w:type="dxa" w:w="120"/>
              <w:bottom w:type="dxa" w:w="80"/>
              <w:right w:type="dxa" w:w="120"/>
            </w:tcMar>
          </w:tcPr>
          <w:p>
            <w:r>
              <w:rPr>
                <w:b/>
                <w:bCs/>
                <w:color w:val="2C2925"/>
                <w:sz w:val="18"/>
                <w:szCs w:val="18"/>
              </w:rPr>
              <w:t xml:space="preserve">Timeline</w:t>
            </w:r>
          </w:p>
        </w:tc>
        <w:tc>
          <w:tcPr>
            <w:tcW w:type="dxa" w:w="4000"/>
            <w:tcBorders>
              <w:top w:val="none" w:sz="0"/>
              <w:left w:val="none" w:sz="0"/>
              <w:bottom w:val="none" w:sz="0"/>
              <w:right w:val="none" w:sz="0"/>
            </w:tcBorders>
            <w:tcMar>
              <w:top w:type="dxa" w:w="80"/>
              <w:left w:type="dxa" w:w="120"/>
              <w:bottom w:type="dxa" w:w="80"/>
              <w:right w:type="dxa" w:w="120"/>
            </w:tcMar>
          </w:tcPr>
          <w:p>
            <w:r>
              <w:rPr>
                <w:color w:val="7C7872"/>
                <w:sz w:val="18"/>
                <w:szCs w:val="18"/>
              </w:rPr>
              <w:t xml:space="preserve">8 weeks</w:t>
            </w:r>
          </w:p>
        </w:tc>
      </w:tr>
      <w:tr>
        <w:tc>
          <w:tcPr>
            <w:tcW w:type="dxa" w:w="2000"/>
            <w:tcBorders>
              <w:top w:val="none" w:sz="0"/>
              <w:left w:val="none" w:sz="0"/>
              <w:bottom w:val="none" w:sz="0"/>
              <w:right w:val="none" w:sz="0"/>
            </w:tcBorders>
            <w:tcMar>
              <w:top w:type="dxa" w:w="80"/>
              <w:left w:type="dxa" w:w="120"/>
              <w:bottom w:type="dxa" w:w="80"/>
              <w:right w:type="dxa" w:w="120"/>
            </w:tcMar>
          </w:tcPr>
          <w:p>
            <w:r>
              <w:rPr>
                <w:b/>
                <w:bCs/>
                <w:color w:val="2C2925"/>
                <w:sz w:val="18"/>
                <w:szCs w:val="18"/>
              </w:rPr>
              <w:t xml:space="preserve">My Role</w:t>
            </w:r>
          </w:p>
        </w:tc>
        <w:tc>
          <w:tcPr>
            <w:tcW w:type="dxa" w:w="4000"/>
            <w:tcBorders>
              <w:top w:val="none" w:sz="0"/>
              <w:left w:val="none" w:sz="0"/>
              <w:bottom w:val="none" w:sz="0"/>
              <w:right w:val="none" w:sz="0"/>
            </w:tcBorders>
            <w:tcMar>
              <w:top w:type="dxa" w:w="80"/>
              <w:left w:type="dxa" w:w="120"/>
              <w:bottom w:type="dxa" w:w="80"/>
              <w:right w:type="dxa" w:w="120"/>
            </w:tcMar>
          </w:tcPr>
          <w:p>
            <w:r>
              <w:rPr>
                <w:color w:val="7C7872"/>
                <w:sz w:val="18"/>
                <w:szCs w:val="18"/>
              </w:rPr>
              <w:t xml:space="preserve">Solo Instructional Designer</w:t>
            </w:r>
          </w:p>
        </w:tc>
      </w:tr>
      <w:tr>
        <w:tc>
          <w:tcPr>
            <w:tcW w:type="dxa" w:w="2000"/>
            <w:tcBorders>
              <w:top w:val="none" w:sz="0"/>
              <w:left w:val="none" w:sz="0"/>
              <w:bottom w:val="none" w:sz="0"/>
              <w:right w:val="none" w:sz="0"/>
            </w:tcBorders>
            <w:tcMar>
              <w:top w:type="dxa" w:w="80"/>
              <w:left w:type="dxa" w:w="120"/>
              <w:bottom w:type="dxa" w:w="80"/>
              <w:right w:type="dxa" w:w="120"/>
            </w:tcMar>
          </w:tcPr>
          <w:p>
            <w:r>
              <w:rPr>
                <w:b/>
                <w:bCs/>
                <w:color w:val="2C2925"/>
                <w:sz w:val="18"/>
                <w:szCs w:val="18"/>
              </w:rPr>
              <w:t xml:space="preserve">Deliverables</w:t>
            </w:r>
          </w:p>
        </w:tc>
        <w:tc>
          <w:tcPr>
            <w:tcW w:type="dxa" w:w="4000"/>
            <w:tcBorders>
              <w:top w:val="none" w:sz="0"/>
              <w:left w:val="none" w:sz="0"/>
              <w:bottom w:val="none" w:sz="0"/>
              <w:right w:val="none" w:sz="0"/>
            </w:tcBorders>
            <w:tcMar>
              <w:top w:type="dxa" w:w="80"/>
              <w:left w:type="dxa" w:w="120"/>
              <w:bottom w:type="dxa" w:w="80"/>
              <w:right w:type="dxa" w:w="120"/>
            </w:tcMar>
          </w:tcPr>
          <w:p>
            <w:r>
              <w:rPr>
                <w:color w:val="7C7872"/>
                <w:sz w:val="18"/>
                <w:szCs w:val="18"/>
              </w:rPr>
              <w:t xml:space="preserve">Blended curriculum, facilitator guide, LMS modules, job aids</w:t>
            </w:r>
          </w:p>
        </w:tc>
      </w:tr>
    </w:tbl>
    <w:p>
      <w:r>
        <w:br w:type="page"/>
      </w:r>
    </w:p>
    <w:p>
      <w:pPr>
        <w:sectPr>
          <w:pgSz w:w="12240" w:h="15840" w:orient="portrait"/>
          <w:pgMar w:top="1440" w:right="1440" w:bottom="1440" w:left="1440" w:header="708" w:footer="708" w:gutter="0"/>
          <w:pgNumType/>
          <w:docGrid w:linePitch="360"/>
        </w:sectPr>
      </w:pPr>
    </w:p>
    <w:p>
      <w:pPr>
        <w:pStyle w:val="Heading1"/>
      </w:pPr>
      <w:r>
        <w:t xml:space="preserve">The Problem</w:t>
      </w:r>
    </w:p>
    <w:p>
      <w:pPr>
        <w:spacing w:after="140"/>
      </w:pPr>
      <w:r>
        <w:rPr>
          <w:rFonts w:ascii="Arial" w:cs="Arial" w:eastAsia="Arial" w:hAnsi="Arial"/>
          <w:b w:val="false"/>
          <w:bCs w:val="false"/>
          <w:i w:val="false"/>
          <w:iCs w:val="false"/>
          <w:color w:val="7C7872"/>
          <w:sz w:val="22"/>
          <w:szCs w:val="22"/>
        </w:rPr>
        <w:t xml:space="preserve">Evergreen Wellness Collective is a multi-location wellness retail brand offering supplements, body care, and holistic health consultations. They were experiencing a persistent issue: new associates were completing their onboarding program but consistently underperforming in their first 60 days on the floor.</w:t>
      </w:r>
    </w:p>
    <w:p>
      <w:pPr>
        <w:spacing w:after="140"/>
      </w:pPr>
      <w:r>
        <w:rPr>
          <w:rFonts w:ascii="Arial" w:cs="Arial" w:eastAsia="Arial" w:hAnsi="Arial"/>
          <w:b w:val="false"/>
          <w:bCs w:val="false"/>
          <w:i w:val="false"/>
          <w:iCs w:val="false"/>
          <w:color w:val="7C7872"/>
          <w:sz w:val="22"/>
          <w:szCs w:val="22"/>
        </w:rPr>
        <w:t xml:space="preserve">Specifically, associates were unable to confidently answer customer questions about product ingredients, recommend alternatives when items were out of stock, or navigate the consultation booking system. Customer satisfaction scores for interactions with new hires were 22% lower than tenured associates, and time-to-competency averaged 14 weeks — far longer than the target of 8 weeks.</w:t>
      </w:r>
    </w:p>
    <w:p>
      <w:pPr>
        <w:spacing w:after="140"/>
      </w:pPr>
      <w:r>
        <w:rPr>
          <w:rFonts w:ascii="Arial" w:cs="Arial" w:eastAsia="Arial" w:hAnsi="Arial"/>
          <w:b w:val="false"/>
          <w:bCs w:val="false"/>
          <w:i w:val="false"/>
          <w:iCs w:val="false"/>
          <w:color w:val="7C7872"/>
          <w:sz w:val="22"/>
          <w:szCs w:val="22"/>
        </w:rPr>
        <w:t xml:space="preserve">The existing onboarding program was a two-day in-person orientation followed by a 40-page product knowledge PDF and a single LMS module covering store policies. There was no structured follow-up, no practice opportunities, and no formal assessment beyond a course completion checkbox.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sz="0"/>
              <w:left w:val="none" w:sz="0"/>
              <w:bottom w:val="none" w:sz="0"/>
              <w:right w:val="none" w:sz="0"/>
            </w:tcBorders>
            <w:shd w:fill="B85C38" w:val="clear"/>
          </w:tcPr>
          <w:p>
            <w:r>
              <w:t xml:space="preserve"/>
            </w:r>
          </w:p>
        </w:tc>
        <w:tc>
          <w:tcPr>
            <w:tcW w:type="dxa" w:w="9160"/>
            <w:tcBorders>
              <w:top w:val="none" w:sz="0"/>
              <w:left w:val="none" w:sz="0"/>
              <w:bottom w:val="none" w:sz="0"/>
              <w:right w:val="none" w:sz="0"/>
            </w:tcBorders>
            <w:shd w:fill="F7F4EF" w:val="clear"/>
            <w:tcMar>
              <w:top w:type="dxa" w:w="100"/>
              <w:left w:type="dxa" w:w="160"/>
              <w:bottom w:type="dxa" w:w="100"/>
              <w:right w:type="dxa" w:w="160"/>
            </w:tcMar>
          </w:tcPr>
          <w:p>
            <w:pPr>
              <w:spacing w:after="60"/>
            </w:pPr>
            <w:r>
              <w:rPr>
                <w:rFonts w:ascii="Arial" w:cs="Arial" w:eastAsia="Arial" w:hAnsi="Arial"/>
                <w:b/>
                <w:bCs/>
                <w:color w:val="B85C38"/>
                <w:sz w:val="18"/>
                <w:szCs w:val="18"/>
              </w:rPr>
              <w:t xml:space="preserve">CORE INSIGHT</w:t>
            </w:r>
          </w:p>
          <w:p>
            <w:r>
              <w:rPr>
                <w:rFonts w:ascii="Arial" w:cs="Arial" w:eastAsia="Arial" w:hAnsi="Arial"/>
                <w:color w:val="7C7872"/>
                <w:sz w:val="20"/>
                <w:szCs w:val="20"/>
              </w:rPr>
              <w:t xml:space="preserve">The problem was not that associates lacked motivation. It was that the onboarding program was designed for information delivery, not performance readiness. Associates were exposed to content but never asked to do anything with it.</w:t>
            </w:r>
          </w:p>
        </w:tc>
      </w:tr>
    </w:tbl>
    <w:p>
      <w:pPr>
        <w:spacing w:after="200"/>
      </w:pPr>
    </w:p>
    <w:p>
      <w:pPr>
        <w:pStyle w:val="Heading1"/>
      </w:pPr>
      <w:r>
        <w:t xml:space="preserve">Phase 1: Analyze</w:t>
      </w:r>
    </w:p>
    <w:p>
      <w:pPr>
        <w:pStyle w:val="Heading2"/>
      </w:pPr>
      <w:r>
        <w:t xml:space="preserve">Stakeholder Interviews</w:t>
      </w:r>
    </w:p>
    <w:p>
      <w:pPr>
        <w:spacing w:after="140"/>
      </w:pPr>
      <w:r>
        <w:rPr>
          <w:rFonts w:ascii="Arial" w:cs="Arial" w:eastAsia="Arial" w:hAnsi="Arial"/>
          <w:b w:val="false"/>
          <w:bCs w:val="false"/>
          <w:i w:val="false"/>
          <w:iCs w:val="false"/>
          <w:color w:val="7C7872"/>
          <w:sz w:val="22"/>
          <w:szCs w:val="22"/>
        </w:rPr>
        <w:t xml:space="preserve">I conducted interviews with three store managers, two tenured associates, and the HR director. Key findings:</w:t>
      </w:r>
    </w:p>
    <w:p>
      <w:pPr>
        <w:pStyle w:val="ListParagraph"/>
        <w:numPr>
          <w:ilvl w:val="0"/>
          <w:numId w:val="2"/>
        </w:numPr>
        <w:spacing w:after="80"/>
      </w:pPr>
      <w:r>
        <w:rPr>
          <w:rFonts w:ascii="Arial" w:cs="Arial" w:eastAsia="Arial" w:hAnsi="Arial"/>
          <w:color w:val="7C7872"/>
          <w:sz w:val="22"/>
          <w:szCs w:val="22"/>
        </w:rPr>
        <w:t xml:space="preserve">Managers reported that new hires would ask the same product questions repeatedly for weeks after onboarding — a retrieval failure, not a motivation issue.</w:t>
      </w:r>
    </w:p>
    <w:p>
      <w:pPr>
        <w:pStyle w:val="ListParagraph"/>
        <w:numPr>
          <w:ilvl w:val="0"/>
          <w:numId w:val="2"/>
        </w:numPr>
        <w:spacing w:after="80"/>
      </w:pPr>
      <w:r>
        <w:rPr>
          <w:rFonts w:ascii="Arial" w:cs="Arial" w:eastAsia="Arial" w:hAnsi="Arial"/>
          <w:color w:val="7C7872"/>
          <w:sz w:val="22"/>
          <w:szCs w:val="22"/>
        </w:rPr>
        <w:t xml:space="preserve">Tenured associates noted that the 40-page PDF was never referenced after Day 1. It was too dense to use as a job aid and too broad to serve as a study guide.</w:t>
      </w:r>
    </w:p>
    <w:p>
      <w:pPr>
        <w:pStyle w:val="ListParagraph"/>
        <w:numPr>
          <w:ilvl w:val="0"/>
          <w:numId w:val="2"/>
        </w:numPr>
        <w:spacing w:after="80"/>
      </w:pPr>
      <w:r>
        <w:rPr>
          <w:rFonts w:ascii="Arial" w:cs="Arial" w:eastAsia="Arial" w:hAnsi="Arial"/>
          <w:color w:val="7C7872"/>
          <w:sz w:val="22"/>
          <w:szCs w:val="22"/>
        </w:rPr>
        <w:t xml:space="preserve">The HR director confirmed there was no structured mentorship or buddy system. New hires were expected to learn by observation.</w:t>
      </w:r>
    </w:p>
    <w:p>
      <w:pPr>
        <w:pStyle w:val="ListParagraph"/>
        <w:numPr>
          <w:ilvl w:val="0"/>
          <w:numId w:val="2"/>
        </w:numPr>
        <w:spacing w:after="80"/>
      </w:pPr>
      <w:r>
        <w:rPr>
          <w:rFonts w:ascii="Arial" w:cs="Arial" w:eastAsia="Arial" w:hAnsi="Arial"/>
          <w:color w:val="7C7872"/>
          <w:sz w:val="22"/>
          <w:szCs w:val="22"/>
        </w:rPr>
        <w:t xml:space="preserve">Customer complaints specifically cited associates saying they would need to check with someone rather than answering directly.</w:t>
      </w:r>
    </w:p>
    <w:p>
      <w:pPr>
        <w:pStyle w:val="Heading2"/>
      </w:pPr>
      <w:r>
        <w:t xml:space="preserve">Task Analysis</w:t>
      </w:r>
    </w:p>
    <w:p>
      <w:pPr>
        <w:spacing w:after="140"/>
      </w:pPr>
      <w:r>
        <w:rPr>
          <w:rFonts w:ascii="Arial" w:cs="Arial" w:eastAsia="Arial" w:hAnsi="Arial"/>
          <w:b w:val="false"/>
          <w:bCs w:val="false"/>
          <w:i w:val="false"/>
          <w:iCs w:val="false"/>
          <w:color w:val="7C7872"/>
          <w:sz w:val="22"/>
          <w:szCs w:val="22"/>
        </w:rPr>
        <w:t xml:space="preserve">I mapped the critical tasks a new associate needs to perform independently within their first 60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Task Domain</w:t>
            </w:r>
          </w:p>
        </w:tc>
        <w:tc>
          <w:tcPr>
            <w:tcW w:type="dxa" w:w="312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Critical Behaviors</w:t>
            </w:r>
          </w:p>
        </w:tc>
        <w:tc>
          <w:tcPr>
            <w:tcW w:type="dxa" w:w="312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Current Gap</w:t>
            </w:r>
          </w:p>
        </w:tc>
      </w:tr>
      <w:tr>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Product Knowledge</w:t>
            </w:r>
          </w:p>
        </w:tc>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Answer ingredient questions, recommend alternatives, explain benefits vs. features</w:t>
            </w:r>
          </w:p>
        </w:tc>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Associates memorize facts but cannot apply them in conversation</w:t>
            </w:r>
          </w:p>
        </w:tc>
      </w:tr>
      <w:tr>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Systems Navigation</w:t>
            </w:r>
          </w:p>
        </w:tc>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Book consultations, process returns, check inventory across locations</w:t>
            </w:r>
          </w:p>
        </w:tc>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One walkthrough during orientation; no practice environment</w:t>
            </w:r>
          </w:p>
        </w:tc>
      </w:tr>
      <w:tr>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Customer Interaction</w:t>
            </w:r>
          </w:p>
        </w:tc>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Greet, qualify needs, recommend, close. Handle objections.</w:t>
            </w:r>
          </w:p>
        </w:tc>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No structured practice. Associates observe but don’t rehearse</w:t>
            </w:r>
          </w:p>
        </w:tc>
      </w:tr>
      <w:tr>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Brand Standards</w:t>
            </w:r>
          </w:p>
        </w:tc>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Apply brand voice in conversation, maintain visual merchandising standards</w:t>
            </w:r>
          </w:p>
        </w:tc>
        <w:tc>
          <w:tcPr>
            <w:tcW w:type="dxa" w:w="312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PDF provided but never assessed or reinforced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sz="0"/>
              <w:left w:val="none" w:sz="0"/>
              <w:bottom w:val="none" w:sz="0"/>
              <w:right w:val="none" w:sz="0"/>
            </w:tcBorders>
            <w:shd w:fill="4A6741" w:val="clear"/>
          </w:tcPr>
          <w:p>
            <w:r>
              <w:t xml:space="preserve"/>
            </w:r>
          </w:p>
        </w:tc>
        <w:tc>
          <w:tcPr>
            <w:tcW w:type="dxa" w:w="9160"/>
            <w:tcBorders>
              <w:top w:val="none" w:sz="0"/>
              <w:left w:val="none" w:sz="0"/>
              <w:bottom w:val="none" w:sz="0"/>
              <w:right w:val="none" w:sz="0"/>
            </w:tcBorders>
            <w:shd w:fill="F7F4EF" w:val="clear"/>
            <w:tcMar>
              <w:top w:type="dxa" w:w="100"/>
              <w:left w:type="dxa" w:w="160"/>
              <w:bottom w:type="dxa" w:w="100"/>
              <w:right w:type="dxa" w:w="160"/>
            </w:tcMar>
          </w:tcPr>
          <w:p>
            <w:pPr>
              <w:spacing w:after="60"/>
            </w:pPr>
            <w:r>
              <w:rPr>
                <w:rFonts w:ascii="Arial" w:cs="Arial" w:eastAsia="Arial" w:hAnsi="Arial"/>
                <w:b/>
                <w:bCs/>
                <w:color w:val="4A6741"/>
                <w:sz w:val="18"/>
                <w:szCs w:val="18"/>
              </w:rPr>
              <w:t xml:space="preserve">ANALYSIS DECISION</w:t>
            </w:r>
          </w:p>
          <w:p>
            <w:r>
              <w:rPr>
                <w:rFonts w:ascii="Arial" w:cs="Arial" w:eastAsia="Arial" w:hAnsi="Arial"/>
                <w:color w:val="7C7872"/>
                <w:sz w:val="20"/>
                <w:szCs w:val="20"/>
              </w:rPr>
              <w:t xml:space="preserve">Training was confirmed as the appropriate intervention. The performance gaps were knowledge- and skill-based, not motivational or environmental. However, the existing program architecture was the root cause — not the content itself.</w:t>
            </w:r>
          </w:p>
        </w:tc>
      </w:tr>
    </w:tbl>
    <w:p>
      <w:r>
        <w:br w:type="page"/>
      </w:r>
    </w:p>
    <w:p>
      <w:pPr>
        <w:pStyle w:val="Heading1"/>
      </w:pPr>
      <w:r>
        <w:t xml:space="preserve">Phase 2: Design</w:t>
      </w:r>
    </w:p>
    <w:p>
      <w:pPr>
        <w:pStyle w:val="Heading2"/>
      </w:pPr>
      <w:r>
        <w:t xml:space="preserve">Learning Objectives</w:t>
      </w:r>
    </w:p>
    <w:p>
      <w:pPr>
        <w:spacing w:after="140"/>
      </w:pPr>
      <w:r>
        <w:rPr>
          <w:rFonts w:ascii="Arial" w:cs="Arial" w:eastAsia="Arial" w:hAnsi="Arial"/>
          <w:b w:val="false"/>
          <w:bCs w:val="false"/>
          <w:i w:val="false"/>
          <w:iCs w:val="false"/>
          <w:color w:val="7C7872"/>
          <w:sz w:val="22"/>
          <w:szCs w:val="22"/>
        </w:rPr>
        <w:t xml:space="preserve">All objectives were written in behavioral terms tied to the task analysis. Assessments were designed before content:</w:t>
      </w:r>
    </w:p>
    <w:p>
      <w:pPr>
        <w:pStyle w:val="ListParagraph"/>
        <w:numPr>
          <w:ilvl w:val="0"/>
          <w:numId w:val="3"/>
        </w:numPr>
        <w:spacing w:after="100"/>
      </w:pPr>
      <w:r>
        <w:rPr>
          <w:rFonts w:ascii="Arial" w:cs="Arial" w:eastAsia="Arial" w:hAnsi="Arial"/>
          <w:color w:val="7C7872"/>
          <w:sz w:val="20"/>
          <w:szCs w:val="20"/>
        </w:rPr>
        <w:t xml:space="preserve">Given a customer question about product ingredients, the associate will accurately explain 3 key benefits and recommend one alternative (assessed via branching scenario, 80% threshold).</w:t>
      </w:r>
    </w:p>
    <w:p>
      <w:pPr>
        <w:pStyle w:val="ListParagraph"/>
        <w:numPr>
          <w:ilvl w:val="0"/>
          <w:numId w:val="3"/>
        </w:numPr>
        <w:spacing w:after="100"/>
      </w:pPr>
      <w:r>
        <w:rPr>
          <w:rFonts w:ascii="Arial" w:cs="Arial" w:eastAsia="Arial" w:hAnsi="Arial"/>
          <w:color w:val="7C7872"/>
          <w:sz w:val="20"/>
          <w:szCs w:val="20"/>
        </w:rPr>
        <w:t xml:space="preserve">Given access to the booking system, the associate will complete a consultation booking with zero errors within 3 minutes (assessed via timed simulation).</w:t>
      </w:r>
    </w:p>
    <w:p>
      <w:pPr>
        <w:pStyle w:val="ListParagraph"/>
        <w:numPr>
          <w:ilvl w:val="0"/>
          <w:numId w:val="3"/>
        </w:numPr>
        <w:spacing w:after="100"/>
      </w:pPr>
      <w:r>
        <w:rPr>
          <w:rFonts w:ascii="Arial" w:cs="Arial" w:eastAsia="Arial" w:hAnsi="Arial"/>
          <w:color w:val="7C7872"/>
          <w:sz w:val="20"/>
          <w:szCs w:val="20"/>
        </w:rPr>
        <w:t xml:space="preserve">Given a customer interaction scenario, the associate will demonstrate the 4-step service model: Greet, Qualify, Recommend, Close (assessed via manager observation rubric at Day 30).</w:t>
      </w:r>
    </w:p>
    <w:p>
      <w:pPr>
        <w:pStyle w:val="ListParagraph"/>
        <w:numPr>
          <w:ilvl w:val="0"/>
          <w:numId w:val="3"/>
        </w:numPr>
        <w:spacing w:after="100"/>
      </w:pPr>
      <w:r>
        <w:rPr>
          <w:rFonts w:ascii="Arial" w:cs="Arial" w:eastAsia="Arial" w:hAnsi="Arial"/>
          <w:color w:val="7C7872"/>
          <w:sz w:val="20"/>
          <w:szCs w:val="20"/>
        </w:rPr>
        <w:t xml:space="preserve">Given the brand style guide, the associate will identify and correct 3 out of 4 brand inconsistencies in a mock display (assessed via visual recognition activity).</w:t>
      </w:r>
    </w:p>
    <w:p>
      <w:pPr>
        <w:pStyle w:val="Heading2"/>
      </w:pPr>
      <w:r>
        <w:t xml:space="preserve">Program Architecture</w:t>
      </w:r>
    </w:p>
    <w:p>
      <w:pPr>
        <w:spacing w:after="140"/>
      </w:pPr>
      <w:r>
        <w:rPr>
          <w:rFonts w:ascii="Arial" w:cs="Arial" w:eastAsia="Arial" w:hAnsi="Arial"/>
          <w:b w:val="false"/>
          <w:bCs w:val="false"/>
          <w:i w:val="false"/>
          <w:iCs w:val="false"/>
          <w:color w:val="7C7872"/>
          <w:sz w:val="22"/>
          <w:szCs w:val="22"/>
        </w:rPr>
        <w:t xml:space="preserve">I replaced the two-day dump with a phased 60-day blended learning journey: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2600"/>
        <w:gridCol w:w="2600"/>
      </w:tblGrid>
      <w:tr>
        <w:tc>
          <w:tcPr>
            <w:tcW w:type="dxa" w:w="156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Phase</w:t>
            </w:r>
          </w:p>
        </w:tc>
        <w:tc>
          <w:tcPr>
            <w:tcW w:type="dxa" w:w="260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Modalities</w:t>
            </w:r>
          </w:p>
        </w:tc>
        <w:tc>
          <w:tcPr>
            <w:tcW w:type="dxa" w:w="260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Focus</w:t>
            </w:r>
          </w:p>
        </w:tc>
        <w:tc>
          <w:tcPr>
            <w:tcW w:type="dxa" w:w="260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Duration</w:t>
            </w:r>
          </w:p>
        </w:tc>
      </w:tr>
      <w:tr>
        <w:tc>
          <w:tcPr>
            <w:tcW w:type="dxa" w:w="156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Foundation
(Days 1–14)</w:t>
            </w:r>
          </w:p>
        </w:tc>
        <w:tc>
          <w:tcPr>
            <w:tcW w:type="dxa" w:w="26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VILT orientation + self-paced LMS modules</w:t>
            </w:r>
          </w:p>
        </w:tc>
        <w:tc>
          <w:tcPr>
            <w:tcW w:type="dxa" w:w="26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Core product knowledge, systems basics, brand immersion</w:t>
            </w:r>
          </w:p>
        </w:tc>
        <w:tc>
          <w:tcPr>
            <w:tcW w:type="dxa" w:w="26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4 hours VILT + 2 hours self-paced</w:t>
            </w:r>
          </w:p>
        </w:tc>
      </w:tr>
      <w:tr>
        <w:tc>
          <w:tcPr>
            <w:tcW w:type="dxa" w:w="156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Application
(Days 15–40)</w:t>
            </w:r>
          </w:p>
        </w:tc>
        <w:tc>
          <w:tcPr>
            <w:tcW w:type="dxa" w:w="26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OJT with buddy + weekly scenario challenges</w:t>
            </w:r>
          </w:p>
        </w:tc>
        <w:tc>
          <w:tcPr>
            <w:tcW w:type="dxa" w:w="26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Guided practice, customer interaction rehearsal</w:t>
            </w:r>
          </w:p>
        </w:tc>
        <w:tc>
          <w:tcPr>
            <w:tcW w:type="dxa" w:w="26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Ongoing with 15-min weekly modules</w:t>
            </w:r>
          </w:p>
        </w:tc>
      </w:tr>
      <w:tr>
        <w:tc>
          <w:tcPr>
            <w:tcW w:type="dxa" w:w="156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Mastery
(Days 41–60)</w:t>
            </w:r>
          </w:p>
        </w:tc>
        <w:tc>
          <w:tcPr>
            <w:tcW w:type="dxa" w:w="26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Independent performance + assessment</w:t>
            </w:r>
          </w:p>
        </w:tc>
        <w:tc>
          <w:tcPr>
            <w:tcW w:type="dxa" w:w="26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Certification assessment, manager observation, peer teaching</w:t>
            </w:r>
          </w:p>
        </w:tc>
        <w:tc>
          <w:tcPr>
            <w:tcW w:type="dxa" w:w="26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Assessment week + ongoing reinforcement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sz="0"/>
              <w:left w:val="none" w:sz="0"/>
              <w:bottom w:val="none" w:sz="0"/>
              <w:right w:val="none" w:sz="0"/>
            </w:tcBorders>
            <w:shd w:fill="C8A96E" w:val="clear"/>
          </w:tcPr>
          <w:p>
            <w:r>
              <w:t xml:space="preserve"/>
            </w:r>
          </w:p>
        </w:tc>
        <w:tc>
          <w:tcPr>
            <w:tcW w:type="dxa" w:w="9160"/>
            <w:tcBorders>
              <w:top w:val="none" w:sz="0"/>
              <w:left w:val="none" w:sz="0"/>
              <w:bottom w:val="none" w:sz="0"/>
              <w:right w:val="none" w:sz="0"/>
            </w:tcBorders>
            <w:shd w:fill="F7F4EF" w:val="clear"/>
            <w:tcMar>
              <w:top w:type="dxa" w:w="100"/>
              <w:left w:type="dxa" w:w="160"/>
              <w:bottom w:type="dxa" w:w="100"/>
              <w:right w:type="dxa" w:w="160"/>
            </w:tcMar>
          </w:tcPr>
          <w:p>
            <w:pPr>
              <w:spacing w:after="60"/>
            </w:pPr>
            <w:r>
              <w:rPr>
                <w:rFonts w:ascii="Arial" w:cs="Arial" w:eastAsia="Arial" w:hAnsi="Arial"/>
                <w:b/>
                <w:bCs/>
                <w:color w:val="C8A96E"/>
                <w:sz w:val="18"/>
                <w:szCs w:val="18"/>
              </w:rPr>
              <w:t xml:space="preserve">DESIGN DECISION</w:t>
            </w:r>
          </w:p>
          <w:p>
            <w:r>
              <w:rPr>
                <w:rFonts w:ascii="Arial" w:cs="Arial" w:eastAsia="Arial" w:hAnsi="Arial"/>
                <w:color w:val="7C7872"/>
                <w:sz w:val="20"/>
                <w:szCs w:val="20"/>
              </w:rPr>
              <w:t xml:space="preserve">I chose a 60-day phased approach over the original 2-day format because spaced practice with interleaving produces significantly better long-term retention than massed practice. The research is unambiguous on this point.</w:t>
            </w:r>
          </w:p>
        </w:tc>
      </w:tr>
    </w:tbl>
    <w:p>
      <w:r>
        <w:br w:type="page"/>
      </w:r>
    </w:p>
    <w:p>
      <w:pPr>
        <w:pStyle w:val="Heading1"/>
      </w:pPr>
      <w:r>
        <w:t xml:space="preserve">Phase 3: Develop</w:t>
      </w:r>
    </w:p>
    <w:p>
      <w:pPr>
        <w:spacing w:after="140"/>
      </w:pPr>
      <w:r>
        <w:rPr>
          <w:rFonts w:ascii="Arial" w:cs="Arial" w:eastAsia="Arial" w:hAnsi="Arial"/>
          <w:b w:val="false"/>
          <w:bCs w:val="false"/>
          <w:i w:val="false"/>
          <w:iCs w:val="false"/>
          <w:color w:val="7C7872"/>
          <w:sz w:val="22"/>
          <w:szCs w:val="22"/>
        </w:rPr>
        <w:t xml:space="preserve">Each deliverable was built with a specific instructional purpose — not just variety for its own sake:</w:t>
      </w:r>
    </w:p>
    <w:p>
      <w:pPr>
        <w:spacing w:after="200"/>
      </w:pPr>
    </w:p>
    <w:p>
      <w:pPr>
        <w:pStyle w:val="Heading3"/>
      </w:pPr>
      <w:r>
        <w:t xml:space="preserve">Self-Paced LMS Modules (3 modules)</w:t>
      </w:r>
    </w:p>
    <w:p>
      <w:pPr>
        <w:spacing w:after="140"/>
      </w:pPr>
      <w:r>
        <w:rPr>
          <w:rFonts w:ascii="Arial" w:cs="Arial" w:eastAsia="Arial" w:hAnsi="Arial"/>
          <w:b w:val="false"/>
          <w:bCs w:val="false"/>
          <w:i w:val="false"/>
          <w:iCs w:val="false"/>
          <w:color w:val="7C7872"/>
          <w:sz w:val="22"/>
          <w:szCs w:val="22"/>
        </w:rPr>
        <w:t xml:space="preserve">Built in HTML with click-to-reveal interactions. Each module follows the same structure: concept introduction, worked example, guided practice, then independent application. Product knowledge modules use retrieval-based quizzes rather than recognition-based multiple choice — the learner must generate the answer, not just identify it.</w:t>
      </w:r>
    </w:p>
    <w:p>
      <w:pPr>
        <w:pStyle w:val="Heading3"/>
      </w:pPr>
      <w:r>
        <w:t xml:space="preserve">Branching Customer Scenario</w:t>
      </w:r>
    </w:p>
    <w:p>
      <w:pPr>
        <w:spacing w:after="140"/>
      </w:pPr>
      <w:r>
        <w:rPr>
          <w:rFonts w:ascii="Arial" w:cs="Arial" w:eastAsia="Arial" w:hAnsi="Arial"/>
          <w:b w:val="false"/>
          <w:bCs w:val="false"/>
          <w:i w:val="false"/>
          <w:iCs w:val="false"/>
          <w:color w:val="7C7872"/>
          <w:sz w:val="22"/>
          <w:szCs w:val="22"/>
        </w:rPr>
        <w:t xml:space="preserve">A two-decision-point branching scenario where the learner plays the role of an associate helping a first-time customer. Each branch leads to a different outcome with specific feedback explaining why the choice worked or didn’t. The scenario is designed around the 4-step service model so that practicing the scenario simultaneously reinforces the framework.</w:t>
      </w:r>
    </w:p>
    <w:p>
      <w:pPr>
        <w:pStyle w:val="Heading3"/>
      </w:pPr>
      <w:r>
        <w:t xml:space="preserve">Job Aids (2 quick-reference cards)</w:t>
      </w:r>
    </w:p>
    <w:p>
      <w:pPr>
        <w:spacing w:after="140"/>
      </w:pPr>
      <w:r>
        <w:rPr>
          <w:rFonts w:ascii="Arial" w:cs="Arial" w:eastAsia="Arial" w:hAnsi="Arial"/>
          <w:b w:val="false"/>
          <w:bCs w:val="false"/>
          <w:i w:val="false"/>
          <w:iCs w:val="false"/>
          <w:color w:val="7C7872"/>
          <w:sz w:val="22"/>
          <w:szCs w:val="22"/>
        </w:rPr>
        <w:t xml:space="preserve">One product comparison card (top 10 customer questions with recommended responses) and one systems quick-reference (booking flow, return process, inventory check). Designed for point-of-need use — scannable, printable, and formatted to fit behind the register.</w:t>
      </w:r>
    </w:p>
    <w:p>
      <w:pPr>
        <w:pStyle w:val="Heading3"/>
      </w:pPr>
      <w:r>
        <w:t xml:space="preserve">Facilitator Guide</w:t>
      </w:r>
    </w:p>
    <w:p>
      <w:pPr>
        <w:spacing w:after="140"/>
      </w:pPr>
      <w:r>
        <w:rPr>
          <w:rFonts w:ascii="Arial" w:cs="Arial" w:eastAsia="Arial" w:hAnsi="Arial"/>
          <w:b w:val="false"/>
          <w:bCs w:val="false"/>
          <w:i w:val="false"/>
          <w:iCs w:val="false"/>
          <w:color w:val="7C7872"/>
          <w:sz w:val="22"/>
          <w:szCs w:val="22"/>
        </w:rPr>
        <w:t xml:space="preserve">A complete guide for the Day 1 VILT orientation session. Includes timing, facilitator scripts, discussion prompts, and embedded tips for managing common facilitation challenges (quiet groups, dominant participants, off-topic tangents).</w:t>
      </w:r>
    </w:p>
    <w:p>
      <w:pPr>
        <w:pStyle w:val="Heading3"/>
      </w:pPr>
      <w:r>
        <w:t xml:space="preserve">Spaced Retrieval Question Set</w:t>
      </w:r>
    </w:p>
    <w:p>
      <w:pPr>
        <w:spacing w:after="140"/>
      </w:pPr>
      <w:r>
        <w:rPr>
          <w:rFonts w:ascii="Arial" w:cs="Arial" w:eastAsia="Arial" w:hAnsi="Arial"/>
          <w:b w:val="false"/>
          <w:bCs w:val="false"/>
          <w:i w:val="false"/>
          <w:iCs w:val="false"/>
          <w:color w:val="7C7872"/>
          <w:sz w:val="22"/>
          <w:szCs w:val="22"/>
        </w:rPr>
        <w:t xml:space="preserve">15 application-based questions delivered via mobile push notification every 2–3 days for 6 weeks post-onboarding. Each incorrect answer links back to the relevant source of truth. Designed using the principles of retrieval practice and spacing effect.</w:t>
      </w:r>
    </w:p>
    <w:p>
      <w:r>
        <w:br w:type="page"/>
      </w:r>
    </w:p>
    <w:p>
      <w:pPr>
        <w:pStyle w:val="Heading1"/>
      </w:pPr>
      <w:r>
        <w:t xml:space="preserve">Phase 4: Implement</w:t>
      </w:r>
    </w:p>
    <w:p>
      <w:pPr>
        <w:spacing w:after="140"/>
      </w:pPr>
      <w:r>
        <w:rPr>
          <w:rFonts w:ascii="Arial" w:cs="Arial" w:eastAsia="Arial" w:hAnsi="Arial"/>
          <w:b w:val="false"/>
          <w:bCs w:val="false"/>
          <w:i w:val="false"/>
          <w:iCs w:val="false"/>
          <w:color w:val="7C7872"/>
          <w:sz w:val="22"/>
          <w:szCs w:val="22"/>
        </w:rPr>
        <w:t xml:space="preserve">The rollout plan addressed the three most common implementation failure points:</w:t>
      </w:r>
    </w:p>
    <w:p>
      <w:pPr>
        <w:pStyle w:val="Heading2"/>
      </w:pPr>
      <w:r>
        <w:t xml:space="preserve">Manager Buy-In</w:t>
      </w:r>
    </w:p>
    <w:p>
      <w:pPr>
        <w:spacing w:after="140"/>
      </w:pPr>
      <w:r>
        <w:rPr>
          <w:rFonts w:ascii="Arial" w:cs="Arial" w:eastAsia="Arial" w:hAnsi="Arial"/>
          <w:b w:val="false"/>
          <w:bCs w:val="false"/>
          <w:i w:val="false"/>
          <w:iCs w:val="false"/>
          <w:color w:val="7C7872"/>
          <w:sz w:val="22"/>
          <w:szCs w:val="22"/>
        </w:rPr>
        <w:t xml:space="preserve">I conducted a 30-minute briefing for all store managers covering what changed, why, and what their role would be (observation rubric at Day 30, weekly 5-minute check-ins). I framed it in terms of their pain: fewer repeat questions from new hires, faster time to independent performance, better customer satisfaction scores.</w:t>
      </w:r>
    </w:p>
    <w:p>
      <w:pPr>
        <w:pStyle w:val="Heading2"/>
      </w:pPr>
      <w:r>
        <w:t xml:space="preserve">Buddy System</w:t>
      </w:r>
    </w:p>
    <w:p>
      <w:pPr>
        <w:spacing w:after="140"/>
      </w:pPr>
      <w:r>
        <w:rPr>
          <w:rFonts w:ascii="Arial" w:cs="Arial" w:eastAsia="Arial" w:hAnsi="Arial"/>
          <w:b w:val="false"/>
          <w:bCs w:val="false"/>
          <w:i w:val="false"/>
          <w:iCs w:val="false"/>
          <w:color w:val="7C7872"/>
          <w:sz w:val="22"/>
          <w:szCs w:val="22"/>
        </w:rPr>
        <w:t xml:space="preserve">Each new hire was paired with a tenured associate for their first 14 days. Buddies received a one-page guide explaining their role: observe, answer questions, model the 4-step service interaction. The guide explicitly states that buddies are not evaluators — this removes the power dynamic that kills honest learning conversations.</w:t>
      </w:r>
    </w:p>
    <w:p>
      <w:pPr>
        <w:pStyle w:val="Heading2"/>
      </w:pPr>
      <w:r>
        <w:t xml:space="preserve">Technical Setup</w:t>
      </w:r>
    </w:p>
    <w:p>
      <w:pPr>
        <w:spacing w:after="140"/>
      </w:pPr>
      <w:r>
        <w:rPr>
          <w:rFonts w:ascii="Arial" w:cs="Arial" w:eastAsia="Arial" w:hAnsi="Arial"/>
          <w:b w:val="false"/>
          <w:bCs w:val="false"/>
          <w:i w:val="false"/>
          <w:iCs w:val="false"/>
          <w:color w:val="7C7872"/>
          <w:sz w:val="22"/>
          <w:szCs w:val="22"/>
        </w:rPr>
        <w:t xml:space="preserve">LMS modules were published as SCORM 1.2 packages with completion and score tracking. Spaced retrieval questions were configured in the mobile platform with automatic scheduling. All materials were tested across devices before launch.</w:t>
      </w:r>
    </w:p>
    <w:p>
      <w:pPr>
        <w:pStyle w:val="Heading1"/>
      </w:pPr>
      <w:r>
        <w:t xml:space="preserve">Phase 5: Evaluate</w:t>
      </w:r>
    </w:p>
    <w:p>
      <w:pPr>
        <w:spacing w:after="140"/>
      </w:pPr>
      <w:r>
        <w:rPr>
          <w:rFonts w:ascii="Arial" w:cs="Arial" w:eastAsia="Arial" w:hAnsi="Arial"/>
          <w:b w:val="false"/>
          <w:bCs w:val="false"/>
          <w:i w:val="false"/>
          <w:iCs w:val="false"/>
          <w:color w:val="7C7872"/>
          <w:sz w:val="22"/>
          <w:szCs w:val="22"/>
        </w:rPr>
        <w:t xml:space="preserve">Evaluation was designed before the first module was built, using Kirkpatrick’s four levels with specific measures at 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3900"/>
        <w:gridCol w:w="3900"/>
      </w:tblGrid>
      <w:tr>
        <w:tc>
          <w:tcPr>
            <w:tcW w:type="dxa" w:w="156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Level</w:t>
            </w:r>
          </w:p>
        </w:tc>
        <w:tc>
          <w:tcPr>
            <w:tcW w:type="dxa" w:w="390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Measure</w:t>
            </w:r>
          </w:p>
        </w:tc>
        <w:tc>
          <w:tcPr>
            <w:tcW w:type="dxa" w:w="3900"/>
            <w:tcBorders>
              <w:top w:val="single" w:color="D8D5D0" w:sz="1"/>
              <w:left w:val="single" w:color="D8D5D0" w:sz="1"/>
              <w:bottom w:val="single" w:color="D8D5D0" w:sz="1"/>
              <w:right w:val="single" w:color="D8D5D0" w:sz="1"/>
            </w:tcBorders>
            <w:shd w:fill="1E2D45" w:val="clear"/>
            <w:tcMar>
              <w:top w:type="dxa" w:w="80"/>
              <w:left w:type="dxa" w:w="120"/>
              <w:bottom w:type="dxa" w:w="80"/>
              <w:right w:type="dxa" w:w="120"/>
            </w:tcMar>
          </w:tcPr>
          <w:p>
            <w:r>
              <w:rPr>
                <w:b/>
                <w:bCs/>
                <w:color w:val="FFFFFF"/>
                <w:sz w:val="18"/>
                <w:szCs w:val="18"/>
              </w:rPr>
              <w:t xml:space="preserve">Projected Target</w:t>
            </w:r>
          </w:p>
        </w:tc>
      </w:tr>
      <w:tr>
        <w:tc>
          <w:tcPr>
            <w:tcW w:type="dxa" w:w="156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1: Reaction</w:t>
            </w:r>
          </w:p>
        </w:tc>
        <w:tc>
          <w:tcPr>
            <w:tcW w:type="dxa" w:w="39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Post-session survey (NPS-style + open comments)</w:t>
            </w:r>
          </w:p>
        </w:tc>
        <w:tc>
          <w:tcPr>
            <w:tcW w:type="dxa" w:w="39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NPS &gt; 40, 90%+ completion</w:t>
            </w:r>
          </w:p>
        </w:tc>
      </w:tr>
      <w:tr>
        <w:tc>
          <w:tcPr>
            <w:tcW w:type="dxa" w:w="156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2: Learning</w:t>
            </w:r>
          </w:p>
        </w:tc>
        <w:tc>
          <w:tcPr>
            <w:tcW w:type="dxa" w:w="39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Certification assessment pass rate; scenario score</w:t>
            </w:r>
          </w:p>
        </w:tc>
        <w:tc>
          <w:tcPr>
            <w:tcW w:type="dxa" w:w="39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80% first-attempt pass rate</w:t>
            </w:r>
          </w:p>
        </w:tc>
      </w:tr>
      <w:tr>
        <w:tc>
          <w:tcPr>
            <w:tcW w:type="dxa" w:w="156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3: Behavior</w:t>
            </w:r>
          </w:p>
        </w:tc>
        <w:tc>
          <w:tcPr>
            <w:tcW w:type="dxa" w:w="39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Manager observation rubric at Day 30; customer satisfaction scores for new hires</w:t>
            </w:r>
          </w:p>
        </w:tc>
        <w:tc>
          <w:tcPr>
            <w:tcW w:type="dxa" w:w="39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Rubric: 3/4 avg; CSAT gap &lt; 10% vs. tenured</w:t>
            </w:r>
          </w:p>
        </w:tc>
      </w:tr>
      <w:tr>
        <w:tc>
          <w:tcPr>
            <w:tcW w:type="dxa" w:w="156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4: Results</w:t>
            </w:r>
          </w:p>
        </w:tc>
        <w:tc>
          <w:tcPr>
            <w:tcW w:type="dxa" w:w="39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Time-to-competency; 90-day retention rate</w:t>
            </w:r>
          </w:p>
        </w:tc>
        <w:tc>
          <w:tcPr>
            <w:tcW w:type="dxa" w:w="3900"/>
            <w:tcBorders>
              <w:top w:val="single" w:color="D8D5D0" w:sz="1"/>
              <w:left w:val="single" w:color="D8D5D0" w:sz="1"/>
              <w:bottom w:val="single" w:color="D8D5D0" w:sz="1"/>
              <w:right w:val="single" w:color="D8D5D0" w:sz="1"/>
            </w:tcBorders>
            <w:tcMar>
              <w:top w:type="dxa" w:w="80"/>
              <w:left w:type="dxa" w:w="120"/>
              <w:bottom w:type="dxa" w:w="80"/>
              <w:right w:type="dxa" w:w="120"/>
            </w:tcMar>
          </w:tcPr>
          <w:p>
            <w:r>
              <w:rPr>
                <w:rFonts w:ascii="Arial" w:cs="Arial" w:eastAsia="Arial" w:hAnsi="Arial"/>
                <w:color w:val="7C7872"/>
                <w:sz w:val="20"/>
                <w:szCs w:val="20"/>
              </w:rPr>
              <w:t xml:space="preserve">Time-to-competency &lt; 8 weeks; retention &gt; 85%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sz="0"/>
              <w:left w:val="none" w:sz="0"/>
              <w:bottom w:val="none" w:sz="0"/>
              <w:right w:val="none" w:sz="0"/>
            </w:tcBorders>
            <w:shd w:fill="2A7A6D" w:val="clear"/>
          </w:tcPr>
          <w:p>
            <w:r>
              <w:t xml:space="preserve"/>
            </w:r>
          </w:p>
        </w:tc>
        <w:tc>
          <w:tcPr>
            <w:tcW w:type="dxa" w:w="9160"/>
            <w:tcBorders>
              <w:top w:val="none" w:sz="0"/>
              <w:left w:val="none" w:sz="0"/>
              <w:bottom w:val="none" w:sz="0"/>
              <w:right w:val="none" w:sz="0"/>
            </w:tcBorders>
            <w:shd w:fill="F7F4EF" w:val="clear"/>
            <w:tcMar>
              <w:top w:type="dxa" w:w="100"/>
              <w:left w:type="dxa" w:w="160"/>
              <w:bottom w:type="dxa" w:w="100"/>
              <w:right w:type="dxa" w:w="160"/>
            </w:tcMar>
          </w:tcPr>
          <w:p>
            <w:pPr>
              <w:spacing w:after="60"/>
            </w:pPr>
            <w:r>
              <w:rPr>
                <w:rFonts w:ascii="Arial" w:cs="Arial" w:eastAsia="Arial" w:hAnsi="Arial"/>
                <w:b/>
                <w:bCs/>
                <w:color w:val="2A7A6D"/>
                <w:sz w:val="18"/>
                <w:szCs w:val="18"/>
              </w:rPr>
              <w:t xml:space="preserve">EVALUATION NOTE</w:t>
            </w:r>
          </w:p>
          <w:p>
            <w:r>
              <w:rPr>
                <w:rFonts w:ascii="Arial" w:cs="Arial" w:eastAsia="Arial" w:hAnsi="Arial"/>
                <w:color w:val="7C7872"/>
                <w:sz w:val="20"/>
                <w:szCs w:val="20"/>
              </w:rPr>
              <w:t xml:space="preserve">As a portfolio project, these are projected targets based on the performance gap analysis. In a live implementation, I would track actuals against these benchmarks and iterate the program based on data — particularly the Level 3 manager observation rubric, which is the strongest signal of real behavior change.</w:t>
            </w:r>
          </w:p>
        </w:tc>
      </w:tr>
    </w:tbl>
    <w:p>
      <w:r>
        <w:br w:type="page"/>
      </w:r>
    </w:p>
    <w:p>
      <w:pPr>
        <w:pStyle w:val="Heading1"/>
      </w:pPr>
      <w:r>
        <w:t xml:space="preserve">Reflection: What I Would Do Differently</w:t>
      </w:r>
    </w:p>
    <w:p>
      <w:pPr>
        <w:spacing w:after="140"/>
      </w:pPr>
      <w:r>
        <w:rPr>
          <w:rFonts w:ascii="Arial" w:cs="Arial" w:eastAsia="Arial" w:hAnsi="Arial"/>
          <w:b w:val="false"/>
          <w:bCs w:val="false"/>
          <w:i w:val="false"/>
          <w:iCs w:val="false"/>
          <w:color w:val="7C7872"/>
          <w:sz w:val="22"/>
          <w:szCs w:val="22"/>
        </w:rPr>
        <w:t xml:space="preserve">No design is perfect on the first pass. If I were to iterate on this project, three things would change:</w:t>
      </w:r>
    </w:p>
    <w:p>
      <w:pPr>
        <w:spacing w:after="140"/>
      </w:pPr>
      <w:r>
        <w:rPr>
          <w:rFonts w:ascii="Arial" w:cs="Arial" w:eastAsia="Arial" w:hAnsi="Arial"/>
          <w:b w:val="false"/>
          <w:bCs w:val="false"/>
          <w:i w:val="false"/>
          <w:iCs w:val="false"/>
          <w:color w:val="7C7872"/>
          <w:sz w:val="22"/>
          <w:szCs w:val="22"/>
        </w:rPr>
        <w:t xml:space="preserve">1. I would involve associates in the design process earlier. The task analysis was based on manager and HR interviews, but the people doing the job every day would have surfaced insights I missed — particularly around which customer questions are most anxiety-inducing for new hires.</w:t>
      </w:r>
    </w:p>
    <w:p>
      <w:pPr>
        <w:spacing w:after="140"/>
      </w:pPr>
      <w:r>
        <w:rPr>
          <w:rFonts w:ascii="Arial" w:cs="Arial" w:eastAsia="Arial" w:hAnsi="Arial"/>
          <w:b w:val="false"/>
          <w:bCs w:val="false"/>
          <w:i w:val="false"/>
          <w:iCs w:val="false"/>
          <w:color w:val="7C7872"/>
          <w:sz w:val="22"/>
          <w:szCs w:val="22"/>
        </w:rPr>
        <w:t xml:space="preserve">2. I would add a pre-assessment. Right now the program assumes all new hires start at the same baseline, which is unlikely. A diagnostic assessment on Day 1 would allow me to personalize the learning path and skip content that’s already mastered.</w:t>
      </w:r>
    </w:p>
    <w:p>
      <w:pPr>
        <w:spacing w:after="140"/>
      </w:pPr>
      <w:r>
        <w:rPr>
          <w:rFonts w:ascii="Arial" w:cs="Arial" w:eastAsia="Arial" w:hAnsi="Arial"/>
          <w:b w:val="false"/>
          <w:bCs w:val="false"/>
          <w:i w:val="false"/>
          <w:iCs w:val="false"/>
          <w:color w:val="7C7872"/>
          <w:sz w:val="22"/>
          <w:szCs w:val="22"/>
        </w:rPr>
        <w:t xml:space="preserve">3. I would push for Level 4 tracking from the start. The business case for the redesign rests on time-to-competency and customer satisfaction — but those require data infrastructure that the client may not have in place. Designing the measurement system alongside the learning system is something I would advocate for more strongly.</w:t>
      </w:r>
    </w:p>
    <w:p>
      <w:pPr>
        <w:spacing w:before="400"/>
      </w:pPr>
    </w:p>
    <w:p>
      <w:pPr>
        <w:pStyle w:val="Heading2"/>
      </w:pPr>
      <w:r>
        <w:t xml:space="preserve">Designer’s Note</w:t>
      </w:r>
    </w:p>
    <w:p>
      <w:pPr>
        <w:spacing w:after="140"/>
      </w:pPr>
      <w:r>
        <w:rPr>
          <w:rFonts w:ascii="Arial" w:cs="Arial" w:eastAsia="Arial" w:hAnsi="Arial"/>
          <w:b w:val="false"/>
          <w:bCs w:val="false"/>
          <w:i w:val="false"/>
          <w:iCs w:val="false"/>
          <w:color w:val="7C7872"/>
          <w:sz w:val="22"/>
          <w:szCs w:val="22"/>
        </w:rPr>
        <w:t xml:space="preserve">This case study was designed to demonstrate full ADDIE cycle thinking — from performance gap identification through evaluation planning. While the client and scenario are fictional, every design decision is grounded in the same learning science principles I apply to real projects: retrieval practice, spaced repetition, cognitive load management, and behavior-focused assessment.</w:t>
      </w:r>
    </w:p>
    <w:p>
      <w:pPr>
        <w:spacing w:after="140"/>
      </w:pPr>
      <w:r>
        <w:rPr>
          <w:rFonts w:ascii="Arial" w:cs="Arial" w:eastAsia="Arial" w:hAnsi="Arial"/>
          <w:b w:val="false"/>
          <w:bCs w:val="false"/>
          <w:i w:val="false"/>
          <w:iCs w:val="false"/>
          <w:color w:val="7C7872"/>
          <w:sz w:val="22"/>
          <w:szCs w:val="22"/>
        </w:rPr>
        <w:t xml:space="preserve">The deliverables referenced in this case study (LMS modules, job aids, facilitator guide, branching scenario) are available as separate portfolio pieces for hands-on review.</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Arial" w:cs="Arial" w:eastAsia="Arial" w:hAnsi="Arial"/>
        <w:color w:val="D8D5D0"/>
        <w:sz w:val="16"/>
        <w:szCs w:val="16"/>
      </w:rPr>
      <w:t xml:space="preserve">Page </w:t>
    </w:r>
    <w:r>
      <w:rPr>
        <w:rFonts w:ascii="Arial" w:cs="Arial" w:eastAsia="Arial" w:hAnsi="Arial"/>
        <w:color w:val="D8D5D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D5D0" w:sz="2" w:space="4"/>
      </w:pBdr>
    </w:pPr>
    <w:r>
      <w:rPr>
        <w:rFonts w:ascii="Arial" w:cs="Arial" w:eastAsia="Arial" w:hAnsi="Arial"/>
        <w:color w:val="7C7872"/>
        <w:sz w:val="16"/>
        <w:szCs w:val="16"/>
      </w:rPr>
      <w:t xml:space="preserve">ADDIE Case Study  |  </w:t>
    </w:r>
    <w:r>
      <w:rPr>
        <w:rFonts w:ascii="Arial" w:cs="Arial" w:eastAsia="Arial" w:hAnsi="Arial"/>
        <w:i/>
        <w:iCs/>
        <w:color w:val="7C7872"/>
        <w:sz w:val="16"/>
        <w:szCs w:val="16"/>
      </w:rPr>
      <w:t xml:space="preserve">Wellness Associate Onboarding Redesign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C2925"/>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E2D45"/>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B85C3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2026-03-12T19:32:47.942Z</dcterms:created>
  <dcterms:modified xsi:type="dcterms:W3CDTF">2026-03-12T19:32:47.942Z</dcterms:modified>
</cp:coreProperties>
</file>

<file path=docProps/custom.xml><?xml version="1.0" encoding="utf-8"?>
<Properties xmlns="http://schemas.openxmlformats.org/officeDocument/2006/custom-properties" xmlns:vt="http://schemas.openxmlformats.org/officeDocument/2006/docPropsVTypes"/>
</file>