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B85C38"/>
          <w:sz w:val="18"/>
          <w:szCs w:val="18"/>
        </w:rPr>
        <w:t xml:space="preserve">FACILITATOR GUIDE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2C2925"/>
          <w:sz w:val="48"/>
          <w:szCs w:val="48"/>
        </w:rPr>
        <w:t xml:space="preserve">Burnout Prevention for Frontline Teams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C7872"/>
          <w:sz w:val="22"/>
          <w:szCs w:val="22"/>
        </w:rPr>
        <w:t xml:space="preserve">A 90-minute virtual instructor-led training (VILT) session designed to help frontline retail and wellness employees recognize early signs of burnout and build sustainable self-management strategies.</w:t>
      </w:r>
    </w:p>
    <w:p>
      <w:pPr>
        <w:spacing w:before="600"/>
      </w:pP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</w:tblGrid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C2925"/>
                <w:sz w:val="18"/>
                <w:szCs w:val="18"/>
              </w:rPr>
              <w:t xml:space="preserve">Duration</w:t>
            </w:r>
          </w:p>
        </w:tc>
        <w:tc>
          <w:tcPr>
            <w:tcW w:type="dxa" w:w="3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7C7872"/>
                <w:sz w:val="18"/>
                <w:szCs w:val="18"/>
              </w:rPr>
              <w:t xml:space="preserve">90 minutes</w:t>
            </w:r>
          </w:p>
        </w:tc>
      </w:tr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C2925"/>
                <w:sz w:val="18"/>
                <w:szCs w:val="18"/>
              </w:rPr>
              <w:t xml:space="preserve">Delivery</w:t>
            </w:r>
          </w:p>
        </w:tc>
        <w:tc>
          <w:tcPr>
            <w:tcW w:type="dxa" w:w="3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7C7872"/>
                <w:sz w:val="18"/>
                <w:szCs w:val="18"/>
              </w:rPr>
              <w:t xml:space="preserve">Virtual (Zoom/Teams)</w:t>
            </w:r>
          </w:p>
        </w:tc>
      </w:tr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C2925"/>
                <w:sz w:val="18"/>
                <w:szCs w:val="18"/>
              </w:rPr>
              <w:t xml:space="preserve">Audience</w:t>
            </w:r>
          </w:p>
        </w:tc>
        <w:tc>
          <w:tcPr>
            <w:tcW w:type="dxa" w:w="3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7C7872"/>
                <w:sz w:val="18"/>
                <w:szCs w:val="18"/>
              </w:rPr>
              <w:t xml:space="preserve">Frontline associates (retail, wellness, hospitality)</w:t>
            </w:r>
          </w:p>
        </w:tc>
      </w:tr>
      <w:tr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C2925"/>
                <w:sz w:val="18"/>
                <w:szCs w:val="18"/>
              </w:rPr>
              <w:t xml:space="preserve">Group Size</w:t>
            </w:r>
          </w:p>
        </w:tc>
        <w:tc>
          <w:tcPr>
            <w:tcW w:type="dxa" w:w="3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7C7872"/>
                <w:sz w:val="18"/>
                <w:szCs w:val="18"/>
              </w:rPr>
              <w:t xml:space="preserve">8–20 participants</w:t>
            </w:r>
          </w:p>
        </w:tc>
      </w:tr>
    </w:tbl>
    <w:p>
      <w:r>
        <w:br w:type="page"/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Session Overview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C7872"/>
          <w:sz w:val="22"/>
          <w:szCs w:val="22"/>
        </w:rPr>
        <w:t xml:space="preserve">This VILT session addresses a growing organizational challenge: frontline burnout. Rather than offering generic wellness advice, this session is designed around three evidence-based competencies that participants can apply immediately.</w:t>
      </w:r>
    </w:p>
    <w:p>
      <w:pPr>
        <w:pStyle w:val="Heading2"/>
      </w:pPr>
      <w:r>
        <w:t xml:space="preserve">Learning Objectives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7C7872"/>
          <w:sz w:val="22"/>
          <w:szCs w:val="22"/>
        </w:rPr>
        <w:t xml:space="preserve">Recognize the early behavioral and cognitive signs of burnout before they become chronic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7C7872"/>
          <w:sz w:val="22"/>
          <w:szCs w:val="22"/>
        </w:rPr>
        <w:t xml:space="preserve">Apply the 3R framework (Recognize, Recharge, Redirect) to personal burnout prevention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7C7872"/>
          <w:sz w:val="22"/>
          <w:szCs w:val="22"/>
        </w:rPr>
        <w:t xml:space="preserve">Create a personalized micro-recovery plan using at least two strategies from the session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7C7872"/>
          <w:sz w:val="22"/>
          <w:szCs w:val="22"/>
        </w:rPr>
        <w:t xml:space="preserve">Identify when and how to access organizational support resources</w:t>
      </w:r>
    </w:p>
    <w:p>
      <w:pPr>
        <w:pStyle w:val="Heading2"/>
      </w:pPr>
      <w:r>
        <w:t xml:space="preserve">Pre-Session Checklist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7C7872"/>
          <w:sz w:val="20"/>
          <w:szCs w:val="20"/>
        </w:rPr>
        <w:t xml:space="preserve">Test video platform, screen sharing, and breakout room functionality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7C7872"/>
          <w:sz w:val="20"/>
          <w:szCs w:val="20"/>
        </w:rPr>
        <w:t xml:space="preserve">Load slide deck and verify all embedded videos play correctly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7C7872"/>
          <w:sz w:val="20"/>
          <w:szCs w:val="20"/>
        </w:rPr>
        <w:t xml:space="preserve">Prepare virtual whiteboard or Jamboard for the Check-In activity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7C7872"/>
          <w:sz w:val="20"/>
          <w:szCs w:val="20"/>
        </w:rPr>
        <w:t xml:space="preserve">Print or share the Micro-Recovery Plan worksheet (PDF) 24 hours before session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7C7872"/>
          <w:sz w:val="20"/>
          <w:szCs w:val="20"/>
        </w:rPr>
        <w:t xml:space="preserve">Confirm participant list and have EAP/HR contact information ready</w:t>
      </w:r>
    </w:p>
    <w:p>
      <w:r>
        <w:br w:type="page"/>
      </w:r>
    </w:p>
    <w:p>
      <w:pPr>
        <w:pStyle w:val="Heading1"/>
      </w:pPr>
      <w:r>
        <w:t xml:space="preserve">Session Timeline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C7872"/>
          <w:sz w:val="22"/>
          <w:szCs w:val="22"/>
        </w:rPr>
        <w:t xml:space="preserve">The session is structured in five blocks. Timing is approximate. Key facilitation instructions are provided for each segment.</w:t>
      </w:r>
    </w:p>
    <w:p>
      <w:pPr>
        <w:spacing w:after="200"/>
      </w:pPr>
    </w:p>
    <w:p>
      <w:pPr>
        <w:pStyle w:val="Heading3"/>
      </w:pPr>
      <w:r>
        <w:t xml:space="preserve">Block 1: Opening &amp; Check-In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B85C38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0:00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B85C38"/>
                <w:sz w:val="14"/>
                <w:szCs w:val="14"/>
              </w:rPr>
              <w:t xml:space="preserve">VILT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Welcome &amp; Session Framing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Welcome participants. Share your name, role, and one sentence about why this topic matters to you personally.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Frame the session: This is not about fixing anyone. Burnout is a systemic issue, not a personal failure. Today we build awareness and tools.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Set norms: cameras optional, chat encouraged, confidentiality expected. Nothing shared here goes to management.</w:t>
            </w:r>
          </w:p>
          <w:p>
            <w:pPr>
              <w:spacing w:after="40" w:before="100"/>
            </w:pPr>
            <w:r>
              <w:rPr>
                <w:rFonts w:ascii="Arial" w:cs="Arial" w:eastAsia="Arial" w:hAnsi="Arial"/>
                <w:b/>
                <w:bCs/>
                <w:color w:val="2C2925"/>
                <w:sz w:val="18"/>
                <w:szCs w:val="18"/>
              </w:rPr>
              <w:t xml:space="preserve">Materials: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Slide deck (slides 1–4)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Chat panel open</w:t>
            </w:r>
          </w:p>
          <w:p>
            <w:pPr>
              <w:pBdr>
                <w:left w:val="single" w:color="C8A96E" w:sz="6"/>
              </w:pBdr>
              <w:spacing w:before="120"/>
            </w:pPr>
            <w:r>
              <w:rPr>
                <w:rFonts w:ascii="Arial" w:cs="Arial" w:eastAsia="Arial" w:hAnsi="Arial"/>
                <w:b/>
                <w:bCs/>
                <w:color w:val="C8A96E"/>
                <w:sz w:val="18"/>
                <w:szCs w:val="18"/>
              </w:rPr>
              <w:t xml:space="preserve">  Facilitator Tip: </w:t>
            </w:r>
            <w:r>
              <w:rPr>
                <w:rFonts w:ascii="Arial" w:cs="Arial" w:eastAsia="Arial" w:hAnsi="Arial"/>
                <w:i/>
                <w:iCs/>
                <w:color w:val="7C7872"/>
                <w:sz w:val="18"/>
                <w:szCs w:val="18"/>
              </w:rPr>
              <w:t xml:space="preserve">Start with vulnerability. If you share something real about your own experience, the group will follow. If you stay clinical, they will too.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2A7A6D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0:08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2A7A6D"/>
                <w:sz w:val="14"/>
                <w:szCs w:val="14"/>
              </w:rPr>
              <w:t xml:space="preserve">ACTIVITY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Energy Check-In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Display a 1–10 scale on screen. Ask: Rate your energy level right now.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Participants post their number in chat or on the whiteboard.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Summarize the range. Do NOT comment on individual numbers.</w:t>
            </w:r>
          </w:p>
          <w:p>
            <w:pPr>
              <w:spacing w:after="40" w:before="100"/>
            </w:pPr>
            <w:r>
              <w:rPr>
                <w:rFonts w:ascii="Arial" w:cs="Arial" w:eastAsia="Arial" w:hAnsi="Arial"/>
                <w:b/>
                <w:bCs/>
                <w:color w:val="2C2925"/>
                <w:sz w:val="18"/>
                <w:szCs w:val="18"/>
              </w:rPr>
              <w:t xml:space="preserve">Materials: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Virtual whiteboard or chat</w:t>
            </w:r>
          </w:p>
          <w:p>
            <w:pPr>
              <w:pBdr>
                <w:left w:val="single" w:color="C8A96E" w:sz="6"/>
              </w:pBdr>
              <w:spacing w:before="120"/>
            </w:pPr>
            <w:r>
              <w:rPr>
                <w:rFonts w:ascii="Arial" w:cs="Arial" w:eastAsia="Arial" w:hAnsi="Arial"/>
                <w:b/>
                <w:bCs/>
                <w:color w:val="C8A96E"/>
                <w:sz w:val="18"/>
                <w:szCs w:val="18"/>
              </w:rPr>
              <w:t xml:space="preserve">  Facilitator Tip: </w:t>
            </w:r>
            <w:r>
              <w:rPr>
                <w:rFonts w:ascii="Arial" w:cs="Arial" w:eastAsia="Arial" w:hAnsi="Arial"/>
                <w:i/>
                <w:iCs/>
                <w:color w:val="7C7872"/>
                <w:sz w:val="18"/>
                <w:szCs w:val="18"/>
              </w:rPr>
              <w:t xml:space="preserve">This is a barometer, not a therapy session. You will reference this data again in Block 3.</w:t>
            </w:r>
          </w:p>
        </w:tc>
      </w:tr>
    </w:tbl>
    <w:p>
      <w:pPr>
        <w:spacing w:after="300"/>
      </w:pPr>
    </w:p>
    <w:p>
      <w:pPr>
        <w:pStyle w:val="Heading3"/>
      </w:pPr>
      <w:r>
        <w:t xml:space="preserve">Block 2: Recognize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B85C38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0:15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B85C38"/>
                <w:sz w:val="14"/>
                <w:szCs w:val="14"/>
              </w:rPr>
              <w:t xml:space="preserve">VILT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The Burnout Continuum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Present the Maslach model: Emotional Exhaustion, Depersonalization, Reduced Personal Accomplishment.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Key point: Burnout is a continuum, not a switch. Most people miss the early signs.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Show the early signals slide: irritability, dreading work, cynicism, difficulty concentrating, sleep disruption.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Ask the group to put a letter in chat: E for exhaustion, D for detachment, R for reduced accomplishment.</w:t>
            </w:r>
          </w:p>
          <w:p>
            <w:pPr>
              <w:spacing w:after="40" w:before="100"/>
            </w:pPr>
            <w:r>
              <w:rPr>
                <w:rFonts w:ascii="Arial" w:cs="Arial" w:eastAsia="Arial" w:hAnsi="Arial"/>
                <w:b/>
                <w:bCs/>
                <w:color w:val="2C2925"/>
                <w:sz w:val="18"/>
                <w:szCs w:val="18"/>
              </w:rPr>
              <w:t xml:space="preserve">Materials: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Slides 5–9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Chat panel</w:t>
            </w:r>
          </w:p>
          <w:p>
            <w:pPr>
              <w:pBdr>
                <w:left w:val="single" w:color="C8A96E" w:sz="6"/>
              </w:pBdr>
              <w:spacing w:before="120"/>
            </w:pPr>
            <w:r>
              <w:rPr>
                <w:rFonts w:ascii="Arial" w:cs="Arial" w:eastAsia="Arial" w:hAnsi="Arial"/>
                <w:b/>
                <w:bCs/>
                <w:color w:val="C8A96E"/>
                <w:sz w:val="18"/>
                <w:szCs w:val="18"/>
              </w:rPr>
              <w:t xml:space="preserve">  Facilitator Tip: </w:t>
            </w:r>
            <w:r>
              <w:rPr>
                <w:rFonts w:ascii="Arial" w:cs="Arial" w:eastAsia="Arial" w:hAnsi="Arial"/>
                <w:i/>
                <w:iCs/>
                <w:color w:val="7C7872"/>
                <w:sz w:val="18"/>
                <w:szCs w:val="18"/>
              </w:rPr>
              <w:t xml:space="preserve">Watch the chat. If heavy clustering on one dimension, acknowledge it.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2A7A6D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0:28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2A7A6D"/>
                <w:sz w:val="14"/>
                <w:szCs w:val="14"/>
              </w:rPr>
              <w:t xml:space="preserve">ACTIVITY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Scenario Sort: Burnout or Bad Day?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Display 5 brief scenarios. Participants vote: B for burnout pattern, D for bad day.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Debrief: the distinction is duration and pattern. A bad day is acute. Burnout is chronic.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Key takeaway: If this has lasted more than two weeks, pay attention.</w:t>
            </w:r>
          </w:p>
          <w:p>
            <w:pPr>
              <w:spacing w:after="40" w:before="100"/>
            </w:pPr>
            <w:r>
              <w:rPr>
                <w:rFonts w:ascii="Arial" w:cs="Arial" w:eastAsia="Arial" w:hAnsi="Arial"/>
                <w:b/>
                <w:bCs/>
                <w:color w:val="2C2925"/>
                <w:sz w:val="18"/>
                <w:szCs w:val="18"/>
              </w:rPr>
              <w:t xml:space="preserve">Materials: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Slide 10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Chat poll</w:t>
            </w:r>
          </w:p>
        </w:tc>
      </w:tr>
    </w:tbl>
    <w:p>
      <w:pPr>
        <w:spacing w:after="300"/>
      </w:pPr>
    </w:p>
    <w:p>
      <w:pPr>
        <w:pStyle w:val="Heading3"/>
      </w:pPr>
      <w:r>
        <w:t xml:space="preserve">Block 3: Recharge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B85C38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0:38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B85C38"/>
                <w:sz w:val="14"/>
                <w:szCs w:val="14"/>
              </w:rPr>
              <w:t xml:space="preserve">VILT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Micro-Recovery Strategies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Introduce the concept: recovery does not require a vacation. Short intentional breaks during the workday are more effective.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Present 6 strategies: physiological sigh, movement snack, sensory reset, boundary ritual, connection pause, cognitive shift.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For each, explain the mechanism: why it works, not just what to do.</w:t>
            </w:r>
          </w:p>
          <w:p>
            <w:pPr>
              <w:spacing w:after="40" w:before="100"/>
            </w:pPr>
            <w:r>
              <w:rPr>
                <w:rFonts w:ascii="Arial" w:cs="Arial" w:eastAsia="Arial" w:hAnsi="Arial"/>
                <w:b/>
                <w:bCs/>
                <w:color w:val="2C2925"/>
                <w:sz w:val="18"/>
                <w:szCs w:val="18"/>
              </w:rPr>
              <w:t xml:space="preserve">Materials: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Slides 11–15</w:t>
            </w:r>
          </w:p>
          <w:p>
            <w:pPr>
              <w:pBdr>
                <w:left w:val="single" w:color="C8A96E" w:sz="6"/>
              </w:pBdr>
              <w:spacing w:before="120"/>
            </w:pPr>
            <w:r>
              <w:rPr>
                <w:rFonts w:ascii="Arial" w:cs="Arial" w:eastAsia="Arial" w:hAnsi="Arial"/>
                <w:b/>
                <w:bCs/>
                <w:color w:val="C8A96E"/>
                <w:sz w:val="18"/>
                <w:szCs w:val="18"/>
              </w:rPr>
              <w:t xml:space="preserve">  Facilitator Tip: </w:t>
            </w:r>
            <w:r>
              <w:rPr>
                <w:rFonts w:ascii="Arial" w:cs="Arial" w:eastAsia="Arial" w:hAnsi="Arial"/>
                <w:i/>
                <w:iCs/>
                <w:color w:val="7C7872"/>
                <w:sz w:val="18"/>
                <w:szCs w:val="18"/>
              </w:rPr>
              <w:t xml:space="preserve">Do not oversell these. They are tools, not cures. If burnout is systemic, individual strategies will not fix a broken environment. Acknowledge that directly.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2A7A6D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0:50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2A7A6D"/>
                <w:sz w:val="14"/>
                <w:szCs w:val="14"/>
              </w:rPr>
              <w:t xml:space="preserve">ACTIVITY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Try It Now: Physiological Sigh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Guide 90-second breathing exercise: double inhale through nose, long exhale through mouth. Three rounds.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After: check energy again on the 1–10 scale. Compare to opening.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Note any shifts. Even small ones validate the approach.</w:t>
            </w:r>
          </w:p>
          <w:p>
            <w:pPr>
              <w:spacing w:after="40" w:before="100"/>
            </w:pPr>
            <w:r>
              <w:rPr>
                <w:rFonts w:ascii="Arial" w:cs="Arial" w:eastAsia="Arial" w:hAnsi="Arial"/>
                <w:b/>
                <w:bCs/>
                <w:color w:val="2C2925"/>
                <w:sz w:val="18"/>
                <w:szCs w:val="18"/>
              </w:rPr>
              <w:t xml:space="preserve">Materials: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Timer visible on screen</w:t>
            </w:r>
          </w:p>
          <w:p>
            <w:pPr>
              <w:pBdr>
                <w:left w:val="single" w:color="C8A96E" w:sz="6"/>
              </w:pBdr>
              <w:spacing w:before="120"/>
            </w:pPr>
            <w:r>
              <w:rPr>
                <w:rFonts w:ascii="Arial" w:cs="Arial" w:eastAsia="Arial" w:hAnsi="Arial"/>
                <w:b/>
                <w:bCs/>
                <w:color w:val="C8A96E"/>
                <w:sz w:val="18"/>
                <w:szCs w:val="18"/>
              </w:rPr>
              <w:t xml:space="preserve">  Facilitator Tip: </w:t>
            </w:r>
            <w:r>
              <w:rPr>
                <w:rFonts w:ascii="Arial" w:cs="Arial" w:eastAsia="Arial" w:hAnsi="Arial"/>
                <w:i/>
                <w:iCs/>
                <w:color w:val="7C7872"/>
                <w:sz w:val="18"/>
                <w:szCs w:val="18"/>
              </w:rPr>
              <w:t xml:space="preserve">This is the most powerful moment. It is experiential. Do not rush it.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D8D5D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0:55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D8D5D0"/>
                <w:sz w:val="14"/>
                <w:szCs w:val="14"/>
              </w:rPr>
              <w:t xml:space="preserve">BREAK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Break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5-minute break. Encourage stepping away from screens.</w:t>
            </w:r>
          </w:p>
        </w:tc>
      </w:tr>
    </w:tbl>
    <w:p>
      <w:pPr>
        <w:spacing w:after="300"/>
      </w:pPr>
    </w:p>
    <w:p>
      <w:pPr>
        <w:pStyle w:val="Heading3"/>
      </w:pPr>
      <w:r>
        <w:t xml:space="preserve">Block 4: Redirect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2A7A6D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1:00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2A7A6D"/>
                <w:sz w:val="14"/>
                <w:szCs w:val="14"/>
              </w:rPr>
              <w:t xml:space="preserve">ACTIVITY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Breakout: Build Your Micro-Recovery Plan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Breakout rooms, groups of 3–4.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Each person completes the worksheet: choose 2 strategies, identify timing, name one boundary.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Groups share plans and offer one suggestion per person.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12 minutes breakout, 5 minutes report-back.</w:t>
            </w:r>
          </w:p>
          <w:p>
            <w:pPr>
              <w:spacing w:after="40" w:before="100"/>
            </w:pPr>
            <w:r>
              <w:rPr>
                <w:rFonts w:ascii="Arial" w:cs="Arial" w:eastAsia="Arial" w:hAnsi="Arial"/>
                <w:b/>
                <w:bCs/>
                <w:color w:val="2C2925"/>
                <w:sz w:val="18"/>
                <w:szCs w:val="18"/>
              </w:rPr>
              <w:t xml:space="preserve">Materials: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Micro-Recovery Plan worksheet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Breakout rooms (3–4 per room)</w:t>
            </w:r>
          </w:p>
          <w:p>
            <w:pPr>
              <w:pBdr>
                <w:left w:val="single" w:color="C8A96E" w:sz="6"/>
              </w:pBdr>
              <w:spacing w:before="120"/>
            </w:pPr>
            <w:r>
              <w:rPr>
                <w:rFonts w:ascii="Arial" w:cs="Arial" w:eastAsia="Arial" w:hAnsi="Arial"/>
                <w:b/>
                <w:bCs/>
                <w:color w:val="C8A96E"/>
                <w:sz w:val="18"/>
                <w:szCs w:val="18"/>
              </w:rPr>
              <w:t xml:space="preserve">  Facilitator Tip: </w:t>
            </w:r>
            <w:r>
              <w:rPr>
                <w:rFonts w:ascii="Arial" w:cs="Arial" w:eastAsia="Arial" w:hAnsi="Arial"/>
                <w:i/>
                <w:iCs/>
                <w:color w:val="7C7872"/>
                <w:sz w:val="18"/>
                <w:szCs w:val="18"/>
              </w:rPr>
              <w:t xml:space="preserve">Visit each room briefly. Prompt: Think about when your energy drops most. What could you do right before that moment?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4A6741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1:17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4A6741"/>
                <w:sz w:val="14"/>
                <w:szCs w:val="14"/>
              </w:rPr>
              <w:t xml:space="preserve">DISCUSSION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Large Group Report-Back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2–3 volunteers share their plans.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Highlight patterns. Validate all plans.</w:t>
            </w:r>
          </w:p>
        </w:tc>
      </w:tr>
    </w:tbl>
    <w:p>
      <w:pPr>
        <w:spacing w:after="300"/>
      </w:pPr>
    </w:p>
    <w:p>
      <w:pPr>
        <w:pStyle w:val="Heading3"/>
      </w:pPr>
      <w:r>
        <w:t xml:space="preserve">Block 5: Close &amp; Commit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B85C38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1:25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B85C38"/>
                <w:sz w:val="14"/>
                <w:szCs w:val="14"/>
              </w:rPr>
              <w:t xml:space="preserve">VILT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One Commitment + Resources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Each participant: one sentence in chat. This week I will ___.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Share organizational resources: EAP, manager support, follow-up module.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Close: Burnout is not a badge of honor, and recovery is not a luxury. Small is sustainable.</w:t>
            </w:r>
          </w:p>
          <w:p>
            <w:pPr>
              <w:spacing w:after="40" w:before="100"/>
            </w:pPr>
            <w:r>
              <w:rPr>
                <w:rFonts w:ascii="Arial" w:cs="Arial" w:eastAsia="Arial" w:hAnsi="Arial"/>
                <w:b/>
                <w:bCs/>
                <w:color w:val="2C2925"/>
                <w:sz w:val="18"/>
                <w:szCs w:val="18"/>
              </w:rPr>
              <w:t xml:space="preserve">Materials: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Slides 18–20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Resource handout (PDF)</w:t>
            </w:r>
          </w:p>
          <w:p>
            <w:pPr>
              <w:pBdr>
                <w:left w:val="single" w:color="C8A96E" w:sz="6"/>
              </w:pBdr>
              <w:spacing w:before="120"/>
            </w:pPr>
            <w:r>
              <w:rPr>
                <w:rFonts w:ascii="Arial" w:cs="Arial" w:eastAsia="Arial" w:hAnsi="Arial"/>
                <w:b/>
                <w:bCs/>
                <w:color w:val="C8A96E"/>
                <w:sz w:val="18"/>
                <w:szCs w:val="18"/>
              </w:rPr>
              <w:t xml:space="preserve">  Facilitator Tip: </w:t>
            </w:r>
            <w:r>
              <w:rPr>
                <w:rFonts w:ascii="Arial" w:cs="Arial" w:eastAsia="Arial" w:hAnsi="Arial"/>
                <w:i/>
                <w:iCs/>
                <w:color w:val="7C7872"/>
                <w:sz w:val="18"/>
                <w:szCs w:val="18"/>
              </w:rPr>
              <w:t xml:space="preserve">Read the commitments out loud. Social accountability gives every person a moment of being heard.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single" w:color="C8A96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C2925"/>
                <w:sz w:val="20"/>
                <w:szCs w:val="20"/>
              </w:rPr>
              <w:t xml:space="preserve">1:30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8A96E"/>
                <w:sz w:val="14"/>
                <w:szCs w:val="14"/>
              </w:rPr>
              <w:t xml:space="preserve">DEBRIEF</w:t>
            </w:r>
          </w:p>
        </w:tc>
        <w:tc>
          <w:tcPr>
            <w:tcW w:type="dxa" w:w="8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200"/>
              <w:bottom w:type="dxa" w:w="120"/>
              <w:right w:type="dxa" w:w="12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C2925"/>
                <w:sz w:val="24"/>
                <w:szCs w:val="24"/>
              </w:rPr>
              <w:t xml:space="preserve">Session Ends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Thank participants. Micro-Recovery Plan is theirs to keep.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Post-session: send resource handout, EAP info, pulse survey link.</w:t>
            </w:r>
          </w:p>
          <w:p>
            <w:pPr>
              <w:spacing w:after="40" w:before="100"/>
            </w:pPr>
            <w:r>
              <w:rPr>
                <w:rFonts w:ascii="Arial" w:cs="Arial" w:eastAsia="Arial" w:hAnsi="Arial"/>
                <w:b/>
                <w:bCs/>
                <w:color w:val="2C2925"/>
                <w:sz w:val="18"/>
                <w:szCs w:val="18"/>
              </w:rPr>
              <w:t xml:space="preserve">Materials: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Follow-up email template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7C7872"/>
                <w:sz w:val="18"/>
                <w:szCs w:val="18"/>
              </w:rPr>
              <w:t xml:space="preserve">  • Pulse survey link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Appendix: Measurement &amp; Evaluation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C7872"/>
          <w:sz w:val="22"/>
          <w:szCs w:val="22"/>
        </w:rPr>
        <w:t xml:space="preserve">This session is designed to be evaluated at Kirkpatrick Levels 1, 2, and 3: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780"/>
        <w:gridCol w:w="3780"/>
      </w:tblGrid>
      <w:tr>
        <w:tc>
          <w:tcPr>
            <w:tcW w:type="dxa" w:w="180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shd w:fill="1E2D4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Level</w:t>
            </w:r>
          </w:p>
        </w:tc>
        <w:tc>
          <w:tcPr>
            <w:tcW w:type="dxa" w:w="378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shd w:fill="1E2D4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Method</w:t>
            </w:r>
          </w:p>
        </w:tc>
        <w:tc>
          <w:tcPr>
            <w:tcW w:type="dxa" w:w="378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shd w:fill="1E2D4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Timing</w:t>
            </w:r>
          </w:p>
        </w:tc>
      </w:tr>
      <w:tr>
        <w:tc>
          <w:tcPr>
            <w:tcW w:type="dxa" w:w="180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Level 1: Reaction</w:t>
            </w:r>
          </w:p>
        </w:tc>
        <w:tc>
          <w:tcPr>
            <w:tcW w:type="dxa" w:w="378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Post-session pulse survey (5 questions)</w:t>
            </w:r>
          </w:p>
        </w:tc>
        <w:tc>
          <w:tcPr>
            <w:tcW w:type="dxa" w:w="378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Within 24 hours</w:t>
            </w:r>
          </w:p>
        </w:tc>
      </w:tr>
      <w:tr>
        <w:tc>
          <w:tcPr>
            <w:tcW w:type="dxa" w:w="180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Level 2: Learning</w:t>
            </w:r>
          </w:p>
        </w:tc>
        <w:tc>
          <w:tcPr>
            <w:tcW w:type="dxa" w:w="378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Micro-Recovery Plan worksheet completed with 2+ strategies</w:t>
            </w:r>
          </w:p>
        </w:tc>
        <w:tc>
          <w:tcPr>
            <w:tcW w:type="dxa" w:w="378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During session (Block 4)</w:t>
            </w:r>
          </w:p>
        </w:tc>
      </w:tr>
      <w:tr>
        <w:tc>
          <w:tcPr>
            <w:tcW w:type="dxa" w:w="180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Level 3: Behavior</w:t>
            </w:r>
          </w:p>
        </w:tc>
        <w:tc>
          <w:tcPr>
            <w:tcW w:type="dxa" w:w="378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30-day follow-up survey: strategy usage frequency</w:t>
            </w:r>
          </w:p>
        </w:tc>
        <w:tc>
          <w:tcPr>
            <w:tcW w:type="dxa" w:w="3780"/>
            <w:tcBorders>
              <w:top w:val="single" w:color="D8D5D0" w:sz="1"/>
              <w:left w:val="single" w:color="D8D5D0" w:sz="1"/>
              <w:bottom w:val="single" w:color="D8D5D0" w:sz="1"/>
              <w:right w:val="single" w:color="D8D5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C7872"/>
                <w:sz w:val="20"/>
                <w:szCs w:val="20"/>
              </w:rPr>
              <w:t xml:space="preserve">30 days post-session</w:t>
            </w:r>
          </w:p>
        </w:tc>
      </w:tr>
    </w:tbl>
    <w:p>
      <w:pPr>
        <w:spacing w:before="400"/>
      </w:pPr>
    </w:p>
    <w:p>
      <w:pPr>
        <w:pStyle w:val="Heading2"/>
      </w:pPr>
      <w:r>
        <w:t xml:space="preserve">Designer’s Note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C7872"/>
          <w:sz w:val="22"/>
          <w:szCs w:val="22"/>
        </w:rPr>
        <w:t xml:space="preserve">This facilitator guide demonstrates several intentional design decisions: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C7872"/>
          <w:sz w:val="22"/>
          <w:szCs w:val="22"/>
        </w:rPr>
        <w:t xml:space="preserve">Audience-appropriate modality: Burnout prevention benefits from live discussion and shared vulnerability. A self-paced module would deliver information but miss the mechanism — connection is part of the intervention.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C7872"/>
          <w:sz w:val="22"/>
          <w:szCs w:val="22"/>
        </w:rPr>
        <w:t xml:space="preserve">Experiential learning: The physiological sigh exercise moves participants from passive reception to active application during the session, not after.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C7872"/>
          <w:sz w:val="22"/>
          <w:szCs w:val="22"/>
        </w:rPr>
        <w:t xml:space="preserve">Facilitator scaffolding: Tips are embedded at decision points, not buried in an appendix. The facilitator needs guidance on tone, timing, and emotional moments — not just slide cues.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7C7872"/>
          <w:sz w:val="22"/>
          <w:szCs w:val="22"/>
        </w:rPr>
        <w:t xml:space="preserve">Measurement alignment: Evaluation is designed before the session and tied to specific learning objectives. The 30-day follow-up captures behavior change, not just satisfaction.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Arial" w:cs="Arial" w:eastAsia="Arial" w:hAnsi="Arial"/>
        <w:color w:val="D8D5D0"/>
        <w:sz w:val="16"/>
        <w:szCs w:val="16"/>
      </w:rPr>
      <w:t xml:space="preserve">Page </w:t>
    </w:r>
    <w:r>
      <w:rPr>
        <w:rFonts w:ascii="Arial" w:cs="Arial" w:eastAsia="Arial" w:hAnsi="Arial"/>
        <w:color w:val="D8D5D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8D5D0" w:sz="2" w:space="4"/>
      </w:pBdr>
    </w:pPr>
    <w:r>
      <w:rPr>
        <w:rFonts w:ascii="Arial" w:cs="Arial" w:eastAsia="Arial" w:hAnsi="Arial"/>
        <w:color w:val="7C7872"/>
        <w:sz w:val="16"/>
        <w:szCs w:val="16"/>
      </w:rPr>
      <w:t xml:space="preserve">Facilitator Guide  |  </w:t>
    </w:r>
    <w:r>
      <w:rPr>
        <w:rFonts w:ascii="Arial" w:cs="Arial" w:eastAsia="Arial" w:hAnsi="Arial"/>
        <w:i/>
        <w:iCs/>
        <w:color w:val="7C7872"/>
        <w:sz w:val="16"/>
        <w:szCs w:val="16"/>
      </w:rPr>
      <w:t xml:space="preserve">Burnout Prevention for Frontline Teams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2C2925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1E2D45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B85C3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2026-03-12T19:30:37.009Z</dcterms:created>
  <dcterms:modified xsi:type="dcterms:W3CDTF">2026-03-12T19:30:37.009Z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